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7C" w:rsidRPr="0043188B" w:rsidRDefault="00D23D89" w:rsidP="0013047C">
      <w:pPr>
        <w:jc w:val="center"/>
        <w:rPr>
          <w:rFonts w:ascii="方正小标宋_GBK" w:eastAsia="方正小标宋_GBK" w:hint="eastAsia"/>
          <w:b/>
          <w:sz w:val="36"/>
          <w:szCs w:val="36"/>
        </w:rPr>
      </w:pPr>
      <w:r w:rsidRPr="0043188B">
        <w:rPr>
          <w:rFonts w:ascii="方正小标宋_GBK" w:eastAsia="方正小标宋_GBK" w:hint="eastAsia"/>
          <w:b/>
          <w:sz w:val="36"/>
          <w:szCs w:val="36"/>
        </w:rPr>
        <w:t>泰州市住房公积金管理中心重大执法决定</w:t>
      </w:r>
    </w:p>
    <w:p w:rsidR="00CB7C0D" w:rsidRPr="0043188B" w:rsidRDefault="00D23D89" w:rsidP="0013047C">
      <w:pPr>
        <w:jc w:val="center"/>
        <w:rPr>
          <w:rFonts w:ascii="方正小标宋_GBK" w:eastAsia="方正小标宋_GBK" w:hint="eastAsia"/>
          <w:b/>
          <w:sz w:val="36"/>
          <w:szCs w:val="36"/>
        </w:rPr>
      </w:pPr>
      <w:r w:rsidRPr="0043188B">
        <w:rPr>
          <w:rFonts w:ascii="方正小标宋_GBK" w:eastAsia="方正小标宋_GBK" w:hint="eastAsia"/>
          <w:b/>
          <w:sz w:val="36"/>
          <w:szCs w:val="36"/>
        </w:rPr>
        <w:t>法制审核流程</w:t>
      </w:r>
      <w:r w:rsidR="00B23DB9" w:rsidRPr="0043188B">
        <w:rPr>
          <w:rFonts w:ascii="方正小标宋_GBK" w:eastAsia="方正小标宋_GBK" w:hint="eastAsia"/>
          <w:b/>
          <w:sz w:val="36"/>
          <w:szCs w:val="36"/>
        </w:rPr>
        <w:t>图</w:t>
      </w:r>
    </w:p>
    <w:p w:rsidR="007B4B86" w:rsidRPr="009603E5" w:rsidRDefault="000C6FE1" w:rsidP="007B4B86">
      <w:pPr>
        <w:jc w:val="left"/>
        <w:rPr>
          <w:b/>
          <w:sz w:val="36"/>
          <w:szCs w:val="36"/>
        </w:rPr>
      </w:pPr>
      <w:r>
        <w:rPr>
          <w:b/>
          <w:noProof/>
          <w:sz w:val="36"/>
          <w:szCs w:val="36"/>
        </w:rPr>
        <w:pict>
          <v:shapetype id="_x0000_t202" coordsize="21600,21600" o:spt="202" path="m,l,21600r21600,l21600,xe">
            <v:stroke joinstyle="miter"/>
            <v:path gradientshapeok="t" o:connecttype="rect"/>
          </v:shapetype>
          <v:shape id="_x0000_s2054" type="#_x0000_t202" style="position:absolute;margin-left:-4.8pt;margin-top:29.4pt;width:93pt;height:396pt;z-index:251662336">
            <v:textbox style="mso-next-textbox:#_x0000_s2054">
              <w:txbxContent>
                <w:p w:rsidR="001657F4" w:rsidRDefault="001657F4" w:rsidP="001A0113">
                  <w:pPr>
                    <w:rPr>
                      <w:rFonts w:asciiTheme="majorEastAsia" w:eastAsiaTheme="majorEastAsia" w:hAnsiTheme="majorEastAsia"/>
                      <w:szCs w:val="21"/>
                    </w:rPr>
                  </w:pPr>
                </w:p>
                <w:p w:rsidR="001A0113" w:rsidRPr="001657F4" w:rsidRDefault="001A0113" w:rsidP="001A0113">
                  <w:pPr>
                    <w:rPr>
                      <w:rFonts w:ascii="宋体" w:eastAsia="宋体" w:hAnsi="宋体" w:cs="Times New Roman"/>
                      <w:szCs w:val="21"/>
                    </w:rPr>
                  </w:pPr>
                  <w:r w:rsidRPr="001657F4">
                    <w:rPr>
                      <w:rFonts w:asciiTheme="majorEastAsia" w:eastAsiaTheme="majorEastAsia" w:hAnsiTheme="majorEastAsia" w:hint="eastAsia"/>
                      <w:szCs w:val="21"/>
                    </w:rPr>
                    <w:t>根据《泰州市住房公积金管理中心重大行政执法决定法制审核制度》</w:t>
                  </w:r>
                  <w:r w:rsidRPr="001657F4">
                    <w:rPr>
                      <w:rFonts w:ascii="宋体" w:eastAsia="宋体" w:hAnsi="宋体" w:cs="Times New Roman" w:hint="eastAsia"/>
                      <w:szCs w:val="21"/>
                    </w:rPr>
                    <w:t>第九条</w:t>
                  </w:r>
                  <w:r w:rsidRPr="001657F4">
                    <w:rPr>
                      <w:rFonts w:asciiTheme="majorEastAsia" w:eastAsiaTheme="majorEastAsia" w:hAnsiTheme="majorEastAsia" w:hint="eastAsia"/>
                      <w:szCs w:val="21"/>
                    </w:rPr>
                    <w:t>，中心对以下</w:t>
                  </w:r>
                  <w:r w:rsidRPr="001657F4">
                    <w:rPr>
                      <w:rFonts w:ascii="宋体" w:eastAsia="宋体" w:hAnsi="宋体" w:cs="Times New Roman" w:hint="eastAsia"/>
                      <w:szCs w:val="21"/>
                    </w:rPr>
                    <w:t>重大行政执法决定</w:t>
                  </w:r>
                  <w:r w:rsidRPr="001657F4">
                    <w:rPr>
                      <w:rFonts w:asciiTheme="majorEastAsia" w:eastAsiaTheme="majorEastAsia" w:hAnsiTheme="majorEastAsia" w:hint="eastAsia"/>
                      <w:szCs w:val="21"/>
                    </w:rPr>
                    <w:t>进行</w:t>
                  </w:r>
                  <w:r w:rsidRPr="001657F4">
                    <w:rPr>
                      <w:rFonts w:ascii="宋体" w:eastAsia="宋体" w:hAnsi="宋体" w:cs="Times New Roman" w:hint="eastAsia"/>
                      <w:szCs w:val="21"/>
                    </w:rPr>
                    <w:t>法制审核：</w:t>
                  </w:r>
                </w:p>
                <w:p w:rsidR="001A0113" w:rsidRPr="001657F4" w:rsidRDefault="001A0113" w:rsidP="001657F4">
                  <w:pPr>
                    <w:ind w:firstLineChars="200" w:firstLine="420"/>
                    <w:rPr>
                      <w:rFonts w:ascii="宋体" w:eastAsia="宋体" w:hAnsi="宋体" w:cs="Times New Roman"/>
                      <w:szCs w:val="21"/>
                    </w:rPr>
                  </w:pPr>
                  <w:r w:rsidRPr="001657F4">
                    <w:rPr>
                      <w:rFonts w:ascii="宋体" w:eastAsia="宋体" w:hAnsi="宋体" w:cs="Times New Roman" w:hint="eastAsia"/>
                      <w:szCs w:val="21"/>
                    </w:rPr>
                    <w:t>（一）对不办理住房公积金缴存登记或不为本单位职工办理住房公积金账户设立手续的单位作出的行政处罚决定；</w:t>
                  </w:r>
                </w:p>
                <w:p w:rsidR="001A0113" w:rsidRPr="001657F4" w:rsidRDefault="001A0113" w:rsidP="001657F4">
                  <w:pPr>
                    <w:spacing w:line="180" w:lineRule="auto"/>
                    <w:ind w:firstLineChars="200" w:firstLine="420"/>
                    <w:rPr>
                      <w:rFonts w:ascii="宋体" w:eastAsia="宋体" w:hAnsi="宋体" w:cs="Times New Roman"/>
                      <w:szCs w:val="21"/>
                    </w:rPr>
                  </w:pPr>
                  <w:r w:rsidRPr="001657F4">
                    <w:rPr>
                      <w:rFonts w:ascii="宋体" w:eastAsia="宋体" w:hAnsi="宋体" w:cs="Times New Roman" w:hint="eastAsia"/>
                      <w:szCs w:val="21"/>
                    </w:rPr>
                    <w:t>（二）对逾期不缴或者少缴住房公积金的单位作出的限期缴存决定；</w:t>
                  </w:r>
                </w:p>
                <w:p w:rsidR="001A0113" w:rsidRPr="001A0113" w:rsidRDefault="001A0113"/>
              </w:txbxContent>
            </v:textbox>
          </v:shape>
        </w:pict>
      </w:r>
      <w:r>
        <w:rPr>
          <w:b/>
          <w:noProof/>
          <w:sz w:val="36"/>
          <w:szCs w:val="36"/>
        </w:rPr>
        <w:pict>
          <v:shapetype id="_x0000_t109" coordsize="21600,21600" o:spt="109" path="m,l,21600r21600,l21600,xe">
            <v:stroke joinstyle="miter"/>
            <v:path gradientshapeok="t" o:connecttype="rect"/>
          </v:shapetype>
          <v:shape id="_x0000_s2053" type="#_x0000_t109" style="position:absolute;margin-left:-17.4pt;margin-top:9pt;width:483.6pt;height:633pt;z-index:251661312" stroked="f"/>
        </w:pict>
      </w:r>
      <w:r>
        <w:rPr>
          <w:b/>
          <w:noProof/>
          <w:sz w:val="36"/>
          <w:szCs w:val="36"/>
        </w:rPr>
        <w:pict>
          <v:shapetype id="_x0000_t32" coordsize="21600,21600" o:spt="32" o:oned="t" path="m,l21600,21600e" filled="f">
            <v:path arrowok="t" fillok="f" o:connecttype="none"/>
            <o:lock v:ext="edit" shapetype="t"/>
          </v:shapetype>
          <v:shape id="_x0000_s2077" type="#_x0000_t32" style="position:absolute;margin-left:375.6pt;margin-top:147.6pt;width:48.6pt;height:.05pt;flip:x;z-index:251672576" o:connectortype="straight">
            <v:stroke endarrow="block"/>
          </v:shape>
        </w:pict>
      </w:r>
      <w:r>
        <w:rPr>
          <w:b/>
          <w:noProof/>
          <w:sz w:val="36"/>
          <w:szCs w:val="36"/>
        </w:rPr>
        <w:pict>
          <v:shape id="_x0000_s2076" type="#_x0000_t32" style="position:absolute;margin-left:424.2pt;margin-top:147.6pt;width:0;height:106.2pt;z-index:251671552" o:connectortype="straight"/>
        </w:pict>
      </w:r>
      <w:r>
        <w:rPr>
          <w:b/>
          <w:noProof/>
          <w:sz w:val="36"/>
          <w:szCs w:val="36"/>
        </w:rPr>
        <w:pict>
          <v:shape id="_x0000_s2066" type="#_x0000_t202" style="position:absolute;margin-left:387pt;margin-top:253.8pt;width:75.6pt;height:208.8pt;z-index:251668480">
            <v:textbox>
              <w:txbxContent>
                <w:p w:rsidR="00961EF5" w:rsidRDefault="00961EF5">
                  <w:r>
                    <w:rPr>
                      <w:rFonts w:hint="eastAsia"/>
                    </w:rPr>
                    <w:t>存在事实不清、证据不全、违反规定程序等问题的，法制机构提出意见，退回至承办人员重新认定、补充证据</w:t>
                  </w:r>
                  <w:r w:rsidR="004A3398">
                    <w:rPr>
                      <w:rFonts w:hint="eastAsia"/>
                    </w:rPr>
                    <w:t>或重新进行执法程序，再送至法制机构审核</w:t>
                  </w:r>
                </w:p>
              </w:txbxContent>
            </v:textbox>
          </v:shape>
        </w:pict>
      </w:r>
      <w:r>
        <w:rPr>
          <w:b/>
          <w:noProof/>
          <w:sz w:val="36"/>
          <w:szCs w:val="36"/>
        </w:rPr>
        <w:pict>
          <v:shape id="_x0000_s2081" type="#_x0000_t202" style="position:absolute;margin-left:145.8pt;margin-top:505.8pt;width:183.6pt;height:85.8pt;z-index:251676672">
            <v:textbox>
              <w:txbxContent>
                <w:p w:rsidR="003F2606" w:rsidRDefault="003F2606">
                  <w:r>
                    <w:rPr>
                      <w:rFonts w:hint="eastAsia"/>
                    </w:rPr>
                    <w:t>法制审核后，承办执法人员制作《行政处罚决定审批表》或《限期缴存决定审批表》</w:t>
                  </w:r>
                  <w:r w:rsidR="00AD53CF">
                    <w:rPr>
                      <w:rFonts w:hint="eastAsia"/>
                    </w:rPr>
                    <w:t>，报中心分管主任和主任审批后制作、送达《行政处罚决定书》或《限期缴存决定书》</w:t>
                  </w:r>
                </w:p>
              </w:txbxContent>
            </v:textbox>
          </v:shape>
        </w:pict>
      </w:r>
      <w:r>
        <w:rPr>
          <w:b/>
          <w:noProof/>
          <w:sz w:val="36"/>
          <w:szCs w:val="36"/>
        </w:rPr>
        <w:pict>
          <v:shape id="_x0000_s2082" type="#_x0000_t32" style="position:absolute;margin-left:238pt;margin-top:457.8pt;width:.05pt;height:48pt;z-index:251677696" o:connectortype="straight">
            <v:stroke endarrow="block"/>
          </v:shape>
        </w:pict>
      </w:r>
      <w:r>
        <w:rPr>
          <w:b/>
          <w:noProof/>
          <w:sz w:val="36"/>
          <w:szCs w:val="36"/>
        </w:rPr>
        <w:pict>
          <v:shape id="_x0000_s2078" type="#_x0000_t202" style="position:absolute;margin-left:145.8pt;margin-top:357.6pt;width:183.6pt;height:100.2pt;z-index:251673600">
            <v:textbox>
              <w:txbxContent>
                <w:p w:rsidR="00DD20C6" w:rsidRPr="00FF2E2C" w:rsidRDefault="00DD20C6" w:rsidP="00DD20C6">
                  <w:pPr>
                    <w:rPr>
                      <w:rFonts w:asciiTheme="minorEastAsia" w:hAnsiTheme="minorEastAsia"/>
                      <w:szCs w:val="21"/>
                    </w:rPr>
                  </w:pPr>
                  <w:r w:rsidRPr="00FF2E2C">
                    <w:rPr>
                      <w:rFonts w:asciiTheme="minorEastAsia" w:hAnsiTheme="minorEastAsia" w:hint="eastAsia"/>
                      <w:szCs w:val="21"/>
                    </w:rPr>
                    <w:t>法制机构</w:t>
                  </w:r>
                  <w:r w:rsidR="00FF2E2C" w:rsidRPr="00FF2E2C">
                    <w:rPr>
                      <w:rFonts w:asciiTheme="minorEastAsia" w:hAnsiTheme="minorEastAsia" w:hint="eastAsia"/>
                      <w:szCs w:val="21"/>
                    </w:rPr>
                    <w:t>以书面审核为主，有权调阅行政执法活动相关材料；必要时，可以向</w:t>
                  </w:r>
                  <w:r w:rsidR="00FF2E2C">
                    <w:rPr>
                      <w:rFonts w:asciiTheme="minorEastAsia" w:hAnsiTheme="minorEastAsia" w:hint="eastAsia"/>
                      <w:szCs w:val="21"/>
                    </w:rPr>
                    <w:t>承办</w:t>
                  </w:r>
                  <w:r w:rsidR="00FF2E2C" w:rsidRPr="00FF2E2C">
                    <w:rPr>
                      <w:rFonts w:asciiTheme="minorEastAsia" w:hAnsiTheme="minorEastAsia" w:hint="eastAsia"/>
                      <w:szCs w:val="21"/>
                    </w:rPr>
                    <w:t>执法人员</w:t>
                  </w:r>
                  <w:r w:rsidR="008D0015">
                    <w:rPr>
                      <w:rFonts w:asciiTheme="minorEastAsia" w:hAnsiTheme="minorEastAsia" w:hint="eastAsia"/>
                      <w:szCs w:val="21"/>
                    </w:rPr>
                    <w:t>、当事人进行核实。审核后出具《</w:t>
                  </w:r>
                  <w:r w:rsidR="003F2606">
                    <w:rPr>
                      <w:rFonts w:asciiTheme="minorEastAsia" w:hAnsiTheme="minorEastAsia" w:hint="eastAsia"/>
                      <w:szCs w:val="21"/>
                    </w:rPr>
                    <w:t>行政处罚决定</w:t>
                  </w:r>
                  <w:r w:rsidR="008D0015">
                    <w:rPr>
                      <w:rFonts w:asciiTheme="minorEastAsia" w:hAnsiTheme="minorEastAsia" w:hint="eastAsia"/>
                      <w:szCs w:val="21"/>
                    </w:rPr>
                    <w:t>法制审核意见书》</w:t>
                  </w:r>
                  <w:r w:rsidR="003F2606">
                    <w:rPr>
                      <w:rFonts w:asciiTheme="minorEastAsia" w:hAnsiTheme="minorEastAsia" w:hint="eastAsia"/>
                      <w:szCs w:val="21"/>
                    </w:rPr>
                    <w:t>或《限期缴存定法制审核意见书》</w:t>
                  </w:r>
                </w:p>
                <w:p w:rsidR="00DD20C6" w:rsidRPr="00DD20C6" w:rsidRDefault="00DD20C6"/>
              </w:txbxContent>
            </v:textbox>
          </v:shape>
        </w:pict>
      </w:r>
      <w:r>
        <w:rPr>
          <w:b/>
          <w:noProof/>
          <w:sz w:val="36"/>
          <w:szCs w:val="36"/>
        </w:rPr>
        <w:pict>
          <v:shape id="_x0000_s2080" type="#_x0000_t32" style="position:absolute;margin-left:329.4pt;margin-top:395.4pt;width:57.6pt;height:0;z-index:251675648" o:connectortype="straight">
            <v:stroke endarrow="block"/>
          </v:shape>
        </w:pict>
      </w:r>
      <w:r>
        <w:rPr>
          <w:b/>
          <w:noProof/>
          <w:sz w:val="36"/>
          <w:szCs w:val="36"/>
        </w:rPr>
        <w:pict>
          <v:shape id="_x0000_s2065" type="#_x0000_t202" style="position:absolute;margin-left:142.8pt;margin-top:253.8pt;width:186.6pt;height:55.8pt;z-index:251667456">
            <v:textbox>
              <w:txbxContent>
                <w:p w:rsidR="00961EF5" w:rsidRDefault="00961EF5">
                  <w:r>
                    <w:rPr>
                      <w:rFonts w:hint="eastAsia"/>
                    </w:rPr>
                    <w:t>法制机构在收到材料后</w:t>
                  </w:r>
                  <w:r>
                    <w:rPr>
                      <w:rFonts w:hint="eastAsia"/>
                    </w:rPr>
                    <w:t>5</w:t>
                  </w:r>
                  <w:r>
                    <w:rPr>
                      <w:rFonts w:hint="eastAsia"/>
                    </w:rPr>
                    <w:t>个工作日（案件复杂的，经批准可延长</w:t>
                  </w:r>
                  <w:r>
                    <w:rPr>
                      <w:rFonts w:hint="eastAsia"/>
                    </w:rPr>
                    <w:t>3</w:t>
                  </w:r>
                  <w:r>
                    <w:rPr>
                      <w:rFonts w:hint="eastAsia"/>
                    </w:rPr>
                    <w:t>个工作日）完成法制审核</w:t>
                  </w:r>
                </w:p>
              </w:txbxContent>
            </v:textbox>
          </v:shape>
        </w:pict>
      </w:r>
      <w:r>
        <w:rPr>
          <w:b/>
          <w:noProof/>
          <w:sz w:val="36"/>
          <w:szCs w:val="36"/>
        </w:rPr>
        <w:pict>
          <v:shape id="_x0000_s2079" type="#_x0000_t32" style="position:absolute;margin-left:238.15pt;margin-top:309.6pt;width:.05pt;height:48pt;z-index:251674624" o:connectortype="straight">
            <v:stroke endarrow="block"/>
          </v:shape>
        </w:pict>
      </w:r>
      <w:r>
        <w:rPr>
          <w:b/>
          <w:noProof/>
          <w:sz w:val="36"/>
          <w:szCs w:val="36"/>
        </w:rPr>
        <w:pict>
          <v:shape id="_x0000_s2062" type="#_x0000_t32" style="position:absolute;margin-left:238.25pt;margin-top:75.6pt;width:0;height:28.2pt;z-index:251664384" o:connectortype="straight">
            <v:stroke endarrow="block"/>
          </v:shape>
        </w:pict>
      </w:r>
      <w:r>
        <w:rPr>
          <w:b/>
          <w:noProof/>
          <w:sz w:val="36"/>
          <w:szCs w:val="36"/>
        </w:rPr>
        <w:pict>
          <v:shape id="_x0000_s2067" type="#_x0000_t32" style="position:absolute;margin-left:238.2pt;margin-top:205.8pt;width:.05pt;height:48pt;z-index:251669504" o:connectortype="straight">
            <v:stroke endarrow="block"/>
          </v:shape>
        </w:pict>
      </w:r>
      <w:r>
        <w:rPr>
          <w:b/>
          <w:noProof/>
          <w:sz w:val="36"/>
          <w:szCs w:val="36"/>
        </w:rPr>
        <w:pict>
          <v:shape id="_x0000_s2061" type="#_x0000_t202" style="position:absolute;margin-left:142.8pt;margin-top:29.4pt;width:232.8pt;height:46.2pt;z-index:251663360">
            <v:textbox>
              <w:txbxContent>
                <w:p w:rsidR="001A0113" w:rsidRDefault="001A0113" w:rsidP="006C07BC">
                  <w:pPr>
                    <w:jc w:val="center"/>
                  </w:pPr>
                  <w:r>
                    <w:rPr>
                      <w:rFonts w:hint="eastAsia"/>
                    </w:rPr>
                    <w:t>承办</w:t>
                  </w:r>
                  <w:r w:rsidR="003F2606">
                    <w:rPr>
                      <w:rFonts w:hint="eastAsia"/>
                    </w:rPr>
                    <w:t>执法</w:t>
                  </w:r>
                  <w:r>
                    <w:rPr>
                      <w:rFonts w:hint="eastAsia"/>
                    </w:rPr>
                    <w:t>人员在作出重大执法决定前</w:t>
                  </w:r>
                  <w:r w:rsidR="00C91D65">
                    <w:rPr>
                      <w:rFonts w:hint="eastAsia"/>
                    </w:rPr>
                    <w:t>，报送法制机构进行法制审核</w:t>
                  </w:r>
                </w:p>
              </w:txbxContent>
            </v:textbox>
          </v:shape>
        </w:pict>
      </w:r>
      <w:r>
        <w:rPr>
          <w:b/>
          <w:noProof/>
          <w:sz w:val="36"/>
          <w:szCs w:val="36"/>
        </w:rPr>
        <w:pict>
          <v:shape id="_x0000_s2064" type="#_x0000_t32" style="position:absolute;margin-left:88.2pt;margin-top:49.8pt;width:54.6pt;height:.6pt;flip:y;z-index:251666432" o:connectortype="straight">
            <v:stroke endarrow="block"/>
          </v:shape>
        </w:pict>
      </w:r>
      <w:r>
        <w:rPr>
          <w:b/>
          <w:noProof/>
          <w:sz w:val="36"/>
          <w:szCs w:val="36"/>
        </w:rPr>
        <w:pict>
          <v:shape id="_x0000_s2063" type="#_x0000_t202" style="position:absolute;margin-left:142.8pt;margin-top:103.8pt;width:232.8pt;height:102pt;z-index:251665408">
            <v:textbox>
              <w:txbxContent>
                <w:p w:rsidR="00C91D65" w:rsidRPr="006C07BC" w:rsidRDefault="00C91D65" w:rsidP="006C07BC">
                  <w:pPr>
                    <w:rPr>
                      <w:rFonts w:ascii="宋体" w:eastAsia="宋体" w:hAnsi="宋体" w:cs="Times New Roman"/>
                      <w:szCs w:val="21"/>
                    </w:rPr>
                  </w:pPr>
                  <w:r w:rsidRPr="006C07BC">
                    <w:rPr>
                      <w:rFonts w:asciiTheme="minorEastAsia" w:hAnsiTheme="minorEastAsia" w:hint="eastAsia"/>
                      <w:szCs w:val="21"/>
                    </w:rPr>
                    <w:t>提交材料：</w:t>
                  </w:r>
                  <w:r w:rsidRPr="006C07BC">
                    <w:rPr>
                      <w:rFonts w:ascii="宋体" w:eastAsia="宋体" w:hAnsi="宋体" w:cs="Times New Roman" w:hint="eastAsia"/>
                      <w:szCs w:val="21"/>
                    </w:rPr>
                    <w:t>（一）</w:t>
                  </w:r>
                  <w:r w:rsidRPr="006C07BC">
                    <w:rPr>
                      <w:rFonts w:asciiTheme="minorEastAsia" w:hAnsiTheme="minorEastAsia" w:hint="eastAsia"/>
                      <w:szCs w:val="21"/>
                    </w:rPr>
                    <w:t>调查取证材料</w:t>
                  </w:r>
                  <w:r w:rsidRPr="006C07BC">
                    <w:rPr>
                      <w:rFonts w:ascii="宋体" w:eastAsia="宋体" w:hAnsi="宋体" w:cs="Times New Roman" w:hint="eastAsia"/>
                      <w:szCs w:val="21"/>
                    </w:rPr>
                    <w:t>、</w:t>
                  </w:r>
                  <w:r w:rsidRPr="006C07BC">
                    <w:rPr>
                      <w:rFonts w:asciiTheme="minorEastAsia" w:hAnsiTheme="minorEastAsia" w:hint="eastAsia"/>
                      <w:szCs w:val="21"/>
                    </w:rPr>
                    <w:t>调查终结报告、处理意见、适用依据、自由裁量权</w:t>
                  </w:r>
                  <w:r w:rsidRPr="006C07BC">
                    <w:rPr>
                      <w:rFonts w:ascii="宋体" w:eastAsia="宋体" w:hAnsi="宋体" w:cs="Times New Roman" w:hint="eastAsia"/>
                      <w:szCs w:val="21"/>
                    </w:rPr>
                    <w:t>情况、执法人员资格情况、</w:t>
                  </w:r>
                  <w:r w:rsidRPr="006C07BC">
                    <w:rPr>
                      <w:rFonts w:asciiTheme="minorEastAsia" w:hAnsiTheme="minorEastAsia" w:hint="eastAsia"/>
                      <w:szCs w:val="21"/>
                    </w:rPr>
                    <w:t>当事人陈述申辩意见</w:t>
                  </w:r>
                  <w:r w:rsidRPr="006C07BC">
                    <w:rPr>
                      <w:rFonts w:ascii="宋体" w:eastAsia="宋体" w:hAnsi="宋体" w:cs="Times New Roman" w:hint="eastAsia"/>
                      <w:szCs w:val="21"/>
                    </w:rPr>
                    <w:t>及其他需要说明的情况；（二）拟作出重大行政执法决定书文本</w:t>
                  </w:r>
                  <w:r w:rsidR="006C07BC" w:rsidRPr="006C07BC">
                    <w:rPr>
                      <w:rFonts w:asciiTheme="minorEastAsia" w:hAnsiTheme="minorEastAsia" w:hint="eastAsia"/>
                      <w:szCs w:val="21"/>
                    </w:rPr>
                    <w:t>；</w:t>
                  </w:r>
                  <w:r w:rsidRPr="006C07BC">
                    <w:rPr>
                      <w:rFonts w:ascii="宋体" w:eastAsia="宋体" w:hAnsi="宋体" w:cs="Times New Roman" w:hint="eastAsia"/>
                      <w:szCs w:val="21"/>
                    </w:rPr>
                    <w:t>（三）经过听证程序的，应当提交听证笔录；（四）其他有关材料。</w:t>
                  </w:r>
                </w:p>
                <w:p w:rsidR="00C91D65" w:rsidRPr="00C91D65" w:rsidRDefault="00C91D65" w:rsidP="00C91D65"/>
              </w:txbxContent>
            </v:textbox>
          </v:shape>
        </w:pict>
      </w:r>
      <w:r>
        <w:rPr>
          <w:b/>
          <w:noProof/>
          <w:sz w:val="36"/>
          <w:szCs w:val="36"/>
        </w:rPr>
        <w:pict>
          <v:shape id="_x0000_s2052" type="#_x0000_t202" style="position:absolute;margin-left:3.8pt;margin-top:42pt;width:84.4pt;height:378.6pt;z-index:251660288;mso-width-relative:margin;mso-height-relative:margin">
            <v:textbox style="mso-next-textbox:#_x0000_s2052">
              <w:txbxContent>
                <w:p w:rsidR="00046A66" w:rsidRDefault="00046A66" w:rsidP="00046A66">
                  <w:r>
                    <w:rPr>
                      <w:rFonts w:hint="eastAsia"/>
                    </w:rPr>
                    <w:t>根据《泰州市住房公积金管理中心重大行政执法决定法制审核制度》第九条，对以下重大行政执法决定进行法制审核：</w:t>
                  </w:r>
                </w:p>
                <w:p w:rsidR="00046A66" w:rsidRDefault="00046A66" w:rsidP="00046A66">
                  <w:r>
                    <w:rPr>
                      <w:rFonts w:hint="eastAsia"/>
                    </w:rPr>
                    <w:t>（一）对不办理住房公积金缴存登记或不为本单位职工办理住房公积金账户设立手续的单位作出的行政处罚决定；</w:t>
                  </w:r>
                </w:p>
                <w:p w:rsidR="00046A66" w:rsidRPr="00046A66" w:rsidRDefault="00046A66" w:rsidP="00046A66">
                  <w:r>
                    <w:rPr>
                      <w:rFonts w:hint="eastAsia"/>
                    </w:rPr>
                    <w:t>（二）对逾期不缴或者少缴住房公积金的单位作出的限期缴存决定；</w:t>
                  </w:r>
                </w:p>
              </w:txbxContent>
            </v:textbox>
          </v:shape>
        </w:pict>
      </w:r>
      <w:r w:rsidR="00046A66">
        <w:rPr>
          <w:rFonts w:hint="eastAsia"/>
          <w:b/>
          <w:sz w:val="36"/>
          <w:szCs w:val="36"/>
        </w:rPr>
        <w:t xml:space="preserve"> </w:t>
      </w:r>
    </w:p>
    <w:sectPr w:rsidR="007B4B86" w:rsidRPr="009603E5" w:rsidSect="00CB7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E26" w:rsidRDefault="004C0E26" w:rsidP="00D23D89">
      <w:r>
        <w:separator/>
      </w:r>
    </w:p>
  </w:endnote>
  <w:endnote w:type="continuationSeparator" w:id="0">
    <w:p w:rsidR="004C0E26" w:rsidRDefault="004C0E26" w:rsidP="00D23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E26" w:rsidRDefault="004C0E26" w:rsidP="00D23D89">
      <w:r>
        <w:separator/>
      </w:r>
    </w:p>
  </w:footnote>
  <w:footnote w:type="continuationSeparator" w:id="0">
    <w:p w:rsidR="004C0E26" w:rsidRDefault="004C0E26" w:rsidP="00D23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D89"/>
    <w:rsid w:val="00046A66"/>
    <w:rsid w:val="00085EEE"/>
    <w:rsid w:val="000C6FE1"/>
    <w:rsid w:val="0013047C"/>
    <w:rsid w:val="001657F4"/>
    <w:rsid w:val="001A0113"/>
    <w:rsid w:val="003F2606"/>
    <w:rsid w:val="0043188B"/>
    <w:rsid w:val="004A3398"/>
    <w:rsid w:val="004C0E26"/>
    <w:rsid w:val="00575B20"/>
    <w:rsid w:val="005B0A89"/>
    <w:rsid w:val="005C4732"/>
    <w:rsid w:val="006904DE"/>
    <w:rsid w:val="006B4814"/>
    <w:rsid w:val="006C07BC"/>
    <w:rsid w:val="007B4B86"/>
    <w:rsid w:val="007D45EA"/>
    <w:rsid w:val="008A1BD0"/>
    <w:rsid w:val="008D0015"/>
    <w:rsid w:val="009035C3"/>
    <w:rsid w:val="0092135B"/>
    <w:rsid w:val="009603E5"/>
    <w:rsid w:val="00961EF5"/>
    <w:rsid w:val="0096591A"/>
    <w:rsid w:val="009F6DCC"/>
    <w:rsid w:val="00A05AEB"/>
    <w:rsid w:val="00AD50E2"/>
    <w:rsid w:val="00AD53CF"/>
    <w:rsid w:val="00B06408"/>
    <w:rsid w:val="00B23DB9"/>
    <w:rsid w:val="00C3195D"/>
    <w:rsid w:val="00C91D65"/>
    <w:rsid w:val="00CB7C0D"/>
    <w:rsid w:val="00D23D89"/>
    <w:rsid w:val="00DD20C6"/>
    <w:rsid w:val="00F5586F"/>
    <w:rsid w:val="00F86952"/>
    <w:rsid w:val="00FF2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2"/>
      <o:rules v:ext="edit">
        <o:r id="V:Rule9" type="connector" idref="#_x0000_s2067"/>
        <o:r id="V:Rule10" type="connector" idref="#_x0000_s2077"/>
        <o:r id="V:Rule11" type="connector" idref="#_x0000_s2079"/>
        <o:r id="V:Rule12" type="connector" idref="#_x0000_s2064"/>
        <o:r id="V:Rule13" type="connector" idref="#_x0000_s2076"/>
        <o:r id="V:Rule14" type="connector" idref="#_x0000_s2080"/>
        <o:r id="V:Rule15" type="connector" idref="#_x0000_s2082"/>
        <o:r id="V:Rule16"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D89"/>
    <w:rPr>
      <w:sz w:val="18"/>
      <w:szCs w:val="18"/>
    </w:rPr>
  </w:style>
  <w:style w:type="paragraph" w:styleId="a4">
    <w:name w:val="footer"/>
    <w:basedOn w:val="a"/>
    <w:link w:val="Char0"/>
    <w:uiPriority w:val="99"/>
    <w:semiHidden/>
    <w:unhideWhenUsed/>
    <w:rsid w:val="00D23D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D89"/>
    <w:rPr>
      <w:sz w:val="18"/>
      <w:szCs w:val="18"/>
    </w:rPr>
  </w:style>
  <w:style w:type="paragraph" w:styleId="a5">
    <w:name w:val="Balloon Text"/>
    <w:basedOn w:val="a"/>
    <w:link w:val="Char1"/>
    <w:uiPriority w:val="99"/>
    <w:semiHidden/>
    <w:unhideWhenUsed/>
    <w:rsid w:val="00046A66"/>
    <w:rPr>
      <w:sz w:val="18"/>
      <w:szCs w:val="18"/>
    </w:rPr>
  </w:style>
  <w:style w:type="character" w:customStyle="1" w:styleId="Char1">
    <w:name w:val="批注框文本 Char"/>
    <w:basedOn w:val="a0"/>
    <w:link w:val="a5"/>
    <w:uiPriority w:val="99"/>
    <w:semiHidden/>
    <w:rsid w:val="00046A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44</cp:revision>
  <dcterms:created xsi:type="dcterms:W3CDTF">2019-08-15T02:24:00Z</dcterms:created>
  <dcterms:modified xsi:type="dcterms:W3CDTF">2019-08-15T09:19:00Z</dcterms:modified>
</cp:coreProperties>
</file>